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C85C4D1" w14:textId="0DCBFC79" w:rsidR="00A1219F" w:rsidRDefault="00E13C2C" w:rsidP="00F863FB">
      <w:pPr>
        <w:pStyle w:val="Heading1"/>
      </w:pPr>
      <w:r>
        <w:t>Inclusive teaching, learning, and assessment practice</w:t>
      </w:r>
    </w:p>
    <w:p w14:paraId="25C85345" w14:textId="7D13CA5F" w:rsidR="00971F0D" w:rsidRDefault="00D32B07" w:rsidP="00BD4D1F">
      <w:pPr>
        <w:pStyle w:val="BodyText"/>
      </w:pPr>
      <w:r>
        <w:t>Inclusive practice</w:t>
      </w:r>
      <w:r w:rsidR="008D6175">
        <w:t xml:space="preserve"> is an approach to teaching, learning and assessment that promotes inclusive education</w:t>
      </w:r>
      <w:r w:rsidR="00F115D5">
        <w:t xml:space="preserve">, where </w:t>
      </w:r>
      <w:r w:rsidR="00F668FA">
        <w:t xml:space="preserve">all </w:t>
      </w:r>
      <w:r w:rsidR="00F115D5">
        <w:t>students</w:t>
      </w:r>
      <w:r w:rsidR="00971F0D">
        <w:t xml:space="preserve"> </w:t>
      </w:r>
      <w:r w:rsidR="00F668FA">
        <w:t xml:space="preserve">have equitable access to learning, feel valued, and are supported in their studies – </w:t>
      </w:r>
      <w:r w:rsidR="003447AF" w:rsidRPr="00B51D1C">
        <w:t xml:space="preserve">regardless of their individual preferences, abilities, disabilities, or </w:t>
      </w:r>
      <w:r w:rsidR="003447AF">
        <w:t>socioeconomic</w:t>
      </w:r>
      <w:r w:rsidR="003447AF" w:rsidRPr="00B51D1C">
        <w:t>, cultural, and linguistic backgrounds</w:t>
      </w:r>
      <w:r w:rsidR="00F668FA">
        <w:t xml:space="preserve">. At </w:t>
      </w:r>
      <w:r w:rsidR="006D69D2">
        <w:t>its</w:t>
      </w:r>
      <w:r w:rsidR="00F668FA">
        <w:t xml:space="preserve"> core, inclusive practice is </w:t>
      </w:r>
      <w:r w:rsidR="00971F0D" w:rsidRPr="00971F0D">
        <w:t>about creating learning environment</w:t>
      </w:r>
      <w:r w:rsidR="00F668FA">
        <w:t>s</w:t>
      </w:r>
      <w:r w:rsidR="00971F0D" w:rsidRPr="00971F0D">
        <w:t xml:space="preserve"> that respect and celebrate</w:t>
      </w:r>
      <w:r w:rsidR="00F668FA">
        <w:t xml:space="preserve"> </w:t>
      </w:r>
      <w:r w:rsidR="00971F0D" w:rsidRPr="00971F0D">
        <w:t>diversity</w:t>
      </w:r>
      <w:r w:rsidR="00F668FA">
        <w:t>,</w:t>
      </w:r>
      <w:r w:rsidR="00971F0D" w:rsidRPr="00971F0D">
        <w:t xml:space="preserve"> while actively removing barriers to participation and achievement</w:t>
      </w:r>
      <w:r w:rsidR="00F668FA">
        <w:t xml:space="preserve"> in learning</w:t>
      </w:r>
      <w:r w:rsidR="00971F0D" w:rsidRPr="00971F0D">
        <w:t>.</w:t>
      </w:r>
    </w:p>
    <w:p w14:paraId="261E9DAC" w14:textId="6737A204" w:rsidR="002D78A8" w:rsidRDefault="00636221" w:rsidP="002D78A8">
      <w:pPr>
        <w:pStyle w:val="BodyText"/>
      </w:pPr>
      <w:r>
        <w:t>Universal Design for Learning (UDL)</w:t>
      </w:r>
      <w:r w:rsidR="00FC0A1A">
        <w:t xml:space="preserve"> is</w:t>
      </w:r>
      <w:r w:rsidR="00FC0A1A" w:rsidRPr="002F7B77">
        <w:t xml:space="preserve"> an educational framework </w:t>
      </w:r>
      <w:r w:rsidR="00FC0A1A">
        <w:t>which</w:t>
      </w:r>
      <w:r w:rsidR="00FC0A1A" w:rsidRPr="002F7B77">
        <w:t xml:space="preserve"> </w:t>
      </w:r>
      <w:r>
        <w:t>can be used</w:t>
      </w:r>
      <w:r w:rsidR="00FC0A1A" w:rsidRPr="002F7B77">
        <w:t xml:space="preserve"> t</w:t>
      </w:r>
      <w:r w:rsidR="00F90EA1">
        <w:t>o enhance inclusive education practices</w:t>
      </w:r>
      <w:r w:rsidR="00FC0A1A">
        <w:t>.</w:t>
      </w:r>
      <w:r>
        <w:t xml:space="preserve"> </w:t>
      </w:r>
      <w:r w:rsidR="002D78A8">
        <w:t xml:space="preserve">While UDL practices are </w:t>
      </w:r>
      <w:r w:rsidRPr="00636221">
        <w:t xml:space="preserve">essential for some, </w:t>
      </w:r>
      <w:r w:rsidR="002D78A8">
        <w:t>they</w:t>
      </w:r>
      <w:r w:rsidRPr="00636221">
        <w:t xml:space="preserve"> benefit all</w:t>
      </w:r>
      <w:r w:rsidR="002D78A8">
        <w:t xml:space="preserve"> students. Adopting UDL is an effective way to adapt course design to be more inclusive and accessible.</w:t>
      </w:r>
    </w:p>
    <w:p w14:paraId="26BB6424" w14:textId="77777777" w:rsidR="00504F77" w:rsidRDefault="00504F77" w:rsidP="002D78A8">
      <w:pPr>
        <w:pStyle w:val="BodyText"/>
      </w:pPr>
    </w:p>
    <w:p w14:paraId="3597F729" w14:textId="77777777" w:rsidR="00B82C9C" w:rsidRPr="00B82C9C" w:rsidRDefault="00B82C9C" w:rsidP="00B82C9C">
      <w:pPr>
        <w:pStyle w:val="BodyText"/>
      </w:pPr>
      <w:r w:rsidRPr="00B82C9C">
        <w:rPr>
          <w:rFonts w:asciiTheme="majorHAnsi" w:eastAsiaTheme="majorEastAsia" w:hAnsiTheme="majorHAnsi" w:cstheme="majorBidi"/>
          <w:b/>
          <w:color w:val="51247A" w:themeColor="accent1"/>
          <w:sz w:val="28"/>
          <w:szCs w:val="26"/>
        </w:rPr>
        <w:t>CAST UDL Guidelines 3.0</w:t>
      </w:r>
    </w:p>
    <w:p w14:paraId="7CF36127" w14:textId="3A341C0D" w:rsidR="009A4767" w:rsidRDefault="009A4767" w:rsidP="009A4767">
      <w:pPr>
        <w:pStyle w:val="BodyText"/>
      </w:pPr>
      <w:hyperlink r:id="rId11" w:history="1">
        <w:r w:rsidRPr="007012D8">
          <w:rPr>
            <w:rStyle w:val="Hyperlink"/>
          </w:rPr>
          <w:t xml:space="preserve">CAST’s UDL </w:t>
        </w:r>
        <w:r w:rsidR="00B82C9C" w:rsidRPr="007012D8">
          <w:rPr>
            <w:rStyle w:val="Hyperlink"/>
          </w:rPr>
          <w:t>Guidelines (2024)</w:t>
        </w:r>
      </w:hyperlink>
      <w:r w:rsidR="00B82C9C">
        <w:t xml:space="preserve"> were</w:t>
      </w:r>
      <w:r>
        <w:t xml:space="preserve"> developed by a multidisciplinary team, rooted in the learning science with foundation in pedagogical, neuroscience, and practic</w:t>
      </w:r>
      <w:r w:rsidR="00450FBD">
        <w:t>e</w:t>
      </w:r>
      <w:r>
        <w:t xml:space="preserve">. It conveys UDL in an accessible manner, with three pillars, each of which has three guidelines, each of which has multiple </w:t>
      </w:r>
      <w:r w:rsidR="00561536">
        <w:t>considerations</w:t>
      </w:r>
      <w:r>
        <w:t xml:space="preserve"> for action. </w:t>
      </w:r>
    </w:p>
    <w:p w14:paraId="64E2F8D4" w14:textId="43972C6E" w:rsidR="009A4767" w:rsidRDefault="009A4767" w:rsidP="009A4767">
      <w:pPr>
        <w:pStyle w:val="BodyText"/>
        <w:numPr>
          <w:ilvl w:val="0"/>
          <w:numId w:val="25"/>
        </w:numPr>
      </w:pPr>
      <w:r w:rsidRPr="00656AEA">
        <w:rPr>
          <w:b/>
          <w:bCs/>
        </w:rPr>
        <w:t>Multiple means of engagement</w:t>
      </w:r>
      <w:r>
        <w:t xml:space="preserve">: the ‘why’ of learning, focuses on student engagement with learning tasks with aim to help learner become more motivated in their learning. </w:t>
      </w:r>
    </w:p>
    <w:p w14:paraId="7270BB6C" w14:textId="479FBAE8" w:rsidR="009A4767" w:rsidRDefault="009A4767" w:rsidP="009A4767">
      <w:pPr>
        <w:pStyle w:val="BodyText"/>
        <w:numPr>
          <w:ilvl w:val="0"/>
          <w:numId w:val="25"/>
        </w:numPr>
      </w:pPr>
      <w:r w:rsidRPr="00656AEA">
        <w:rPr>
          <w:b/>
          <w:bCs/>
        </w:rPr>
        <w:t>Multiple means of representation</w:t>
      </w:r>
      <w:r>
        <w:t xml:space="preserve">: the ‘what’ of learning, focuses on providing learners with choice around their learning with the aim to provide information in multiple formats for the learner to engage with. </w:t>
      </w:r>
    </w:p>
    <w:p w14:paraId="69D31957" w14:textId="55D239A3" w:rsidR="009A4767" w:rsidRDefault="009A4767" w:rsidP="009A4767">
      <w:pPr>
        <w:pStyle w:val="BodyText"/>
        <w:numPr>
          <w:ilvl w:val="0"/>
          <w:numId w:val="25"/>
        </w:numPr>
      </w:pPr>
      <w:r w:rsidRPr="00656AEA">
        <w:rPr>
          <w:b/>
          <w:bCs/>
        </w:rPr>
        <w:t>Multiple means of action and expression</w:t>
      </w:r>
      <w:r>
        <w:t xml:space="preserve">: the ‘how’ of learning, focuses on ensuring learners can navigate the learning environments and demonstrate their knowledge and understanding. </w:t>
      </w:r>
    </w:p>
    <w:p w14:paraId="72A97DD8" w14:textId="0C51AB5E" w:rsidR="00361C6A" w:rsidRDefault="00361C6A" w:rsidP="00361C6A">
      <w:pPr>
        <w:pStyle w:val="BodyText"/>
      </w:pPr>
      <w:r w:rsidRPr="00361C6A">
        <w:rPr>
          <w:noProof/>
        </w:rPr>
        <w:drawing>
          <wp:inline distT="0" distB="0" distL="0" distR="0" wp14:anchorId="3427F06B" wp14:editId="09B5694B">
            <wp:extent cx="6120130" cy="588010"/>
            <wp:effectExtent l="0" t="0" r="0" b="2540"/>
            <wp:docPr id="1200037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378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B8A62" w14:textId="77777777" w:rsidR="00504F77" w:rsidRPr="00361C6A" w:rsidRDefault="00504F77" w:rsidP="00361C6A">
      <w:pPr>
        <w:pStyle w:val="BodyText"/>
      </w:pPr>
    </w:p>
    <w:p w14:paraId="34BF8B3E" w14:textId="39BBF4BE" w:rsidR="00AA6C60" w:rsidRDefault="00AA6C60" w:rsidP="00AA6C60">
      <w:pPr>
        <w:pStyle w:val="Heading2"/>
      </w:pPr>
      <w:r>
        <w:t>Implementation of UDL</w:t>
      </w:r>
    </w:p>
    <w:p w14:paraId="7BF87475" w14:textId="2341D471" w:rsidR="005E05E3" w:rsidRDefault="00945BE4" w:rsidP="00504F77">
      <w:pPr>
        <w:pStyle w:val="BodyText"/>
      </w:pPr>
      <w:r>
        <w:t xml:space="preserve">There is no one way to approach embedding inclusive practices into your course. </w:t>
      </w:r>
      <w:r w:rsidR="007C3845">
        <w:t>And approachable way to get started is using CAST’s UDL Guidelines provide a structured way to consider, add, and alter aspects of your course</w:t>
      </w:r>
      <w:r w:rsidR="0061258F">
        <w:t xml:space="preserve"> which increase inclusivity. </w:t>
      </w:r>
      <w:r w:rsidR="002D78A8" w:rsidRPr="001118D1">
        <w:t xml:space="preserve">Instead of aiming for a single, universally perfect learning experience (which is unattainable), </w:t>
      </w:r>
      <w:r w:rsidR="0061258F">
        <w:t>focus on one change at a time</w:t>
      </w:r>
      <w:r w:rsidR="00335964">
        <w:t xml:space="preserve"> in a </w:t>
      </w:r>
      <w:hyperlink r:id="rId13" w:history="1">
        <w:r w:rsidR="00335964" w:rsidRPr="00487438">
          <w:rPr>
            <w:rStyle w:val="Hyperlink"/>
          </w:rPr>
          <w:t>plus-one thinking approach</w:t>
        </w:r>
      </w:hyperlink>
      <w:r w:rsidR="009F0254">
        <w:t xml:space="preserve">. Some </w:t>
      </w:r>
      <w:r w:rsidR="004E5906">
        <w:t>ideas:</w:t>
      </w:r>
    </w:p>
    <w:p w14:paraId="30504F23" w14:textId="0649E80A" w:rsidR="005E05E3" w:rsidRDefault="00543BE5" w:rsidP="005E05E3">
      <w:pPr>
        <w:pStyle w:val="BodyText"/>
        <w:numPr>
          <w:ilvl w:val="0"/>
          <w:numId w:val="26"/>
        </w:numPr>
      </w:pPr>
      <w:r>
        <w:t xml:space="preserve">Pick one principle from the </w:t>
      </w:r>
      <w:hyperlink r:id="rId14" w:history="1">
        <w:r w:rsidRPr="00F207A5">
          <w:rPr>
            <w:rStyle w:val="Hyperlink"/>
          </w:rPr>
          <w:t>CAST UDL Guidelines</w:t>
        </w:r>
      </w:hyperlink>
      <w:r w:rsidR="00561536">
        <w:t xml:space="preserve">, and focus on </w:t>
      </w:r>
      <w:r w:rsidR="00E61069">
        <w:t xml:space="preserve">one of the considerations. </w:t>
      </w:r>
      <w:r w:rsidR="004E5906">
        <w:t xml:space="preserve">Read through strategies on the </w:t>
      </w:r>
      <w:r w:rsidR="005A577D">
        <w:t>consideration</w:t>
      </w:r>
      <w:r w:rsidR="004E5906">
        <w:t xml:space="preserve"> webpage</w:t>
      </w:r>
      <w:r w:rsidR="005A577D">
        <w:t xml:space="preserve"> (e.g. </w:t>
      </w:r>
      <w:hyperlink r:id="rId15" w:history="1">
        <w:r w:rsidR="00315EB6" w:rsidRPr="00315EB6">
          <w:rPr>
            <w:rStyle w:val="Hyperlink"/>
          </w:rPr>
          <w:t xml:space="preserve">Consideration </w:t>
        </w:r>
        <w:r w:rsidR="005A577D" w:rsidRPr="00315EB6">
          <w:rPr>
            <w:rStyle w:val="Hyperlink"/>
          </w:rPr>
          <w:t>1.1</w:t>
        </w:r>
      </w:hyperlink>
      <w:r w:rsidR="00315EB6">
        <w:t>)</w:t>
      </w:r>
      <w:r w:rsidR="004E5906">
        <w:t xml:space="preserve">, and </w:t>
      </w:r>
      <w:r w:rsidR="005A577D">
        <w:t>adapt for what suits your course context.</w:t>
      </w:r>
      <w:r w:rsidR="00E61069">
        <w:t xml:space="preserve"> </w:t>
      </w:r>
    </w:p>
    <w:p w14:paraId="4278FF07" w14:textId="697B0A8A" w:rsidR="00D44B3D" w:rsidRDefault="00E4785D" w:rsidP="005E05E3">
      <w:pPr>
        <w:pStyle w:val="BodyText"/>
        <w:numPr>
          <w:ilvl w:val="0"/>
          <w:numId w:val="26"/>
        </w:numPr>
      </w:pPr>
      <w:r>
        <w:t xml:space="preserve">Target the low hanging fruit in your course that are easy and approachable changes to enact. </w:t>
      </w:r>
      <w:r w:rsidR="00D44B3D">
        <w:br w:type="page"/>
      </w:r>
    </w:p>
    <w:p w14:paraId="35B9E8B7" w14:textId="5D58754F" w:rsidR="00992AA1" w:rsidRDefault="000A2F14" w:rsidP="0071355B">
      <w:pPr>
        <w:pStyle w:val="Heading2"/>
      </w:pPr>
      <w:bookmarkStart w:id="0" w:name="_Hlk207376763"/>
      <w:r>
        <w:rPr>
          <w:noProof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03FC6604" wp14:editId="62FB1363">
            <wp:simplePos x="0" y="0"/>
            <wp:positionH relativeFrom="margin">
              <wp:posOffset>5488187</wp:posOffset>
            </wp:positionH>
            <wp:positionV relativeFrom="paragraph">
              <wp:posOffset>473075</wp:posOffset>
            </wp:positionV>
            <wp:extent cx="972185" cy="1009015"/>
            <wp:effectExtent l="0" t="0" r="0" b="635"/>
            <wp:wrapThrough wrapText="bothSides">
              <wp:wrapPolygon edited="0">
                <wp:start x="6772" y="0"/>
                <wp:lineTo x="5079" y="1223"/>
                <wp:lineTo x="2116" y="5301"/>
                <wp:lineTo x="0" y="9787"/>
                <wp:lineTo x="1693" y="13050"/>
                <wp:lineTo x="1693" y="13458"/>
                <wp:lineTo x="7195" y="19575"/>
                <wp:lineTo x="0" y="19575"/>
                <wp:lineTo x="0" y="21206"/>
                <wp:lineTo x="20316" y="21206"/>
                <wp:lineTo x="21163" y="21206"/>
                <wp:lineTo x="21163" y="19575"/>
                <wp:lineTo x="14391" y="19575"/>
                <wp:lineTo x="15237" y="13050"/>
                <wp:lineTo x="18623" y="13050"/>
                <wp:lineTo x="21163" y="10195"/>
                <wp:lineTo x="21163" y="1223"/>
                <wp:lineTo x="10158" y="0"/>
                <wp:lineTo x="6772" y="0"/>
              </wp:wrapPolygon>
            </wp:wrapThrough>
            <wp:docPr id="1610808307" name="Picture 1" descr="A tree with fruit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08307" name="Picture 1" descr="A tree with fruits on it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B3D">
        <w:t>Low hanging fruit for UDL implementation</w:t>
      </w:r>
    </w:p>
    <w:bookmarkEnd w:id="0"/>
    <w:p w14:paraId="37E8352D" w14:textId="3906FD11" w:rsidR="0071355B" w:rsidRPr="0071355B" w:rsidRDefault="0071355B" w:rsidP="0071355B">
      <w:pPr>
        <w:pStyle w:val="Heading3"/>
      </w:pPr>
      <w:r w:rsidRPr="0071355B">
        <w:t xml:space="preserve">Means of Engagement </w:t>
      </w:r>
    </w:p>
    <w:p w14:paraId="3ACD05BF" w14:textId="537F6560" w:rsidR="0071355B" w:rsidRPr="0071355B" w:rsidRDefault="0071355B" w:rsidP="001312CE">
      <w:pPr>
        <w:pStyle w:val="BodyText"/>
        <w:numPr>
          <w:ilvl w:val="0"/>
          <w:numId w:val="21"/>
        </w:numPr>
        <w:spacing w:before="60" w:after="60"/>
        <w:ind w:left="714" w:hanging="357"/>
      </w:pPr>
      <w:r w:rsidRPr="0071355B">
        <w:t xml:space="preserve">Build in more collaborative discussion into </w:t>
      </w:r>
      <w:r w:rsidR="0052478B">
        <w:t>class time</w:t>
      </w:r>
      <w:r w:rsidRPr="0071355B">
        <w:t xml:space="preserve">. </w:t>
      </w:r>
    </w:p>
    <w:p w14:paraId="68E855BF" w14:textId="7B5B414E" w:rsidR="002E19E3" w:rsidRDefault="002E19E3" w:rsidP="001312CE">
      <w:pPr>
        <w:pStyle w:val="BodyText"/>
        <w:numPr>
          <w:ilvl w:val="0"/>
          <w:numId w:val="21"/>
        </w:numPr>
        <w:spacing w:before="60" w:after="60"/>
        <w:ind w:left="714" w:hanging="357"/>
      </w:pPr>
      <w:r>
        <w:t xml:space="preserve">Use </w:t>
      </w:r>
      <w:hyperlink r:id="rId17" w:anchor="names-tool" w:history="1">
        <w:r w:rsidR="00C456A8" w:rsidRPr="0090006C">
          <w:rPr>
            <w:rStyle w:val="Hyperlink"/>
          </w:rPr>
          <w:t>students’ preferre</w:t>
        </w:r>
        <w:r w:rsidR="00C456A8" w:rsidRPr="0090006C">
          <w:rPr>
            <w:rStyle w:val="Hyperlink"/>
          </w:rPr>
          <w:t>d</w:t>
        </w:r>
        <w:r w:rsidR="00C456A8" w:rsidRPr="0090006C">
          <w:rPr>
            <w:rStyle w:val="Hyperlink"/>
          </w:rPr>
          <w:t xml:space="preserve"> names</w:t>
        </w:r>
      </w:hyperlink>
      <w:r w:rsidR="00C456A8">
        <w:t xml:space="preserve"> </w:t>
      </w:r>
      <w:r w:rsidR="00C456A8">
        <w:t xml:space="preserve">and </w:t>
      </w:r>
      <w:hyperlink r:id="rId18" w:anchor="inclusive-language" w:history="1">
        <w:r w:rsidRPr="005E402C">
          <w:rPr>
            <w:rStyle w:val="Hyperlink"/>
          </w:rPr>
          <w:t>inclusive language</w:t>
        </w:r>
      </w:hyperlink>
      <w:r>
        <w:t xml:space="preserve"> </w:t>
      </w:r>
      <w:r w:rsidR="00AB753C" w:rsidRPr="00AB753C">
        <w:t>that is respectful and promotes the acceptance and value of all people</w:t>
      </w:r>
      <w:r w:rsidR="005E402C">
        <w:t>.</w:t>
      </w:r>
    </w:p>
    <w:p w14:paraId="66624009" w14:textId="02113343" w:rsidR="0071355B" w:rsidRPr="0071355B" w:rsidRDefault="0071355B" w:rsidP="001312CE">
      <w:pPr>
        <w:pStyle w:val="BodyText"/>
        <w:numPr>
          <w:ilvl w:val="0"/>
          <w:numId w:val="21"/>
        </w:numPr>
        <w:spacing w:before="60" w:after="60"/>
        <w:ind w:left="714" w:hanging="357"/>
      </w:pPr>
      <w:r w:rsidRPr="0071355B">
        <w:t>Encourage participation with options for anonymity</w:t>
      </w:r>
      <w:r w:rsidR="0052478B">
        <w:t xml:space="preserve">, for example, </w:t>
      </w:r>
      <w:r w:rsidR="00080157">
        <w:t xml:space="preserve">using </w:t>
      </w:r>
      <w:hyperlink r:id="rId19" w:history="1">
        <w:r w:rsidRPr="00D62FC7">
          <w:rPr>
            <w:rStyle w:val="Hyperlink"/>
          </w:rPr>
          <w:t>Padlet</w:t>
        </w:r>
      </w:hyperlink>
      <w:r w:rsidRPr="0071355B">
        <w:t xml:space="preserve"> to collect individual</w:t>
      </w:r>
      <w:r w:rsidR="00FE0198">
        <w:t xml:space="preserve"> </w:t>
      </w:r>
      <w:r w:rsidRPr="0071355B">
        <w:t xml:space="preserve">ideas that can inform group activities. </w:t>
      </w:r>
    </w:p>
    <w:p w14:paraId="623F7654" w14:textId="52CF47F1" w:rsidR="0071355B" w:rsidRPr="0071355B" w:rsidRDefault="0071355B" w:rsidP="001312CE">
      <w:pPr>
        <w:pStyle w:val="BodyText"/>
        <w:numPr>
          <w:ilvl w:val="0"/>
          <w:numId w:val="21"/>
        </w:numPr>
        <w:spacing w:before="60" w:after="60"/>
        <w:ind w:left="714" w:hanging="357"/>
      </w:pPr>
      <w:r w:rsidRPr="0071355B">
        <w:t>Walk around your teaching space and talk to as many students</w:t>
      </w:r>
      <w:r w:rsidR="00080157">
        <w:t xml:space="preserve"> </w:t>
      </w:r>
      <w:r w:rsidRPr="0071355B">
        <w:t xml:space="preserve">as possible. </w:t>
      </w:r>
    </w:p>
    <w:p w14:paraId="37AB6549" w14:textId="413D8617" w:rsidR="0071355B" w:rsidRPr="0071355B" w:rsidRDefault="0071355B" w:rsidP="001312CE">
      <w:pPr>
        <w:pStyle w:val="BodyText"/>
        <w:numPr>
          <w:ilvl w:val="0"/>
          <w:numId w:val="21"/>
        </w:numPr>
        <w:spacing w:before="60" w:after="60"/>
        <w:ind w:left="714" w:hanging="357"/>
      </w:pPr>
      <w:r w:rsidRPr="0071355B">
        <w:t xml:space="preserve">Give students </w:t>
      </w:r>
      <w:r w:rsidR="00080157">
        <w:t>opportunities</w:t>
      </w:r>
      <w:r w:rsidRPr="0071355B">
        <w:t xml:space="preserve"> to be heard in class</w:t>
      </w:r>
      <w:r w:rsidR="00080157">
        <w:t>. E</w:t>
      </w:r>
      <w:r w:rsidRPr="0071355B">
        <w:t>ncourage contribution or responses from all students</w:t>
      </w:r>
      <w:r w:rsidR="00080157">
        <w:t>. A</w:t>
      </w:r>
      <w:r w:rsidRPr="0071355B">
        <w:t xml:space="preserve">void relying on a small number of students. </w:t>
      </w:r>
    </w:p>
    <w:p w14:paraId="45596328" w14:textId="01044A34" w:rsidR="0071355B" w:rsidRPr="0071355B" w:rsidRDefault="0071355B" w:rsidP="001312CE">
      <w:pPr>
        <w:pStyle w:val="BodyText"/>
        <w:numPr>
          <w:ilvl w:val="0"/>
          <w:numId w:val="21"/>
        </w:numPr>
        <w:spacing w:before="60" w:after="60"/>
        <w:ind w:left="714" w:hanging="357"/>
      </w:pPr>
      <w:r w:rsidRPr="0071355B">
        <w:t>Provide feedback beyond correct responses</w:t>
      </w:r>
      <w:r w:rsidR="00080157">
        <w:t>. M</w:t>
      </w:r>
      <w:r w:rsidRPr="0071355B">
        <w:t>odel thinking processes that lead to incorrect or flawed responses</w:t>
      </w:r>
      <w:r w:rsidR="00AB1DB7">
        <w:t>, and subsequent learning</w:t>
      </w:r>
      <w:r w:rsidRPr="0071355B">
        <w:t xml:space="preserve">. </w:t>
      </w:r>
    </w:p>
    <w:p w14:paraId="113DD3DF" w14:textId="769F97E7" w:rsidR="0071355B" w:rsidRPr="0071355B" w:rsidRDefault="0071355B" w:rsidP="0071355B">
      <w:pPr>
        <w:pStyle w:val="Heading3"/>
      </w:pPr>
      <w:r w:rsidRPr="0071355B">
        <w:t xml:space="preserve">Means of Representation </w:t>
      </w:r>
    </w:p>
    <w:p w14:paraId="29437D6A" w14:textId="2359AC26" w:rsidR="00F21D53" w:rsidRDefault="0071355B" w:rsidP="001312CE">
      <w:pPr>
        <w:pStyle w:val="BodyText"/>
        <w:numPr>
          <w:ilvl w:val="0"/>
          <w:numId w:val="22"/>
        </w:numPr>
        <w:spacing w:before="60" w:after="60"/>
        <w:ind w:left="714" w:hanging="357"/>
      </w:pPr>
      <w:r>
        <w:t>Use visually accessible fonts</w:t>
      </w:r>
      <w:r w:rsidR="00487D7E">
        <w:t xml:space="preserve"> like </w:t>
      </w:r>
      <w:r w:rsidR="004F0614">
        <w:t>Ver</w:t>
      </w:r>
      <w:r w:rsidR="00CB73E1">
        <w:t>dana or Arial</w:t>
      </w:r>
      <w:r w:rsidR="00487D7E">
        <w:t>.</w:t>
      </w:r>
      <w:r w:rsidR="00422142">
        <w:t xml:space="preserve"> </w:t>
      </w:r>
      <w:r w:rsidR="000978A9">
        <w:t xml:space="preserve">Avoid fonts that are stylised, narrow, condensed, and light. </w:t>
      </w:r>
      <w:r w:rsidR="00967A9A" w:rsidRPr="00487D7E">
        <w:t xml:space="preserve">If typesetting math in LaTeX or Mathematica, consider using </w:t>
      </w:r>
      <w:hyperlink r:id="rId20" w:anchor="intro" w:history="1">
        <w:proofErr w:type="spellStart"/>
        <w:r w:rsidR="00967A9A" w:rsidRPr="00816CF1">
          <w:rPr>
            <w:rStyle w:val="Hyperlink"/>
          </w:rPr>
          <w:t>Luciole</w:t>
        </w:r>
        <w:proofErr w:type="spellEnd"/>
        <w:r w:rsidR="00967A9A" w:rsidRPr="00816CF1">
          <w:rPr>
            <w:rStyle w:val="Hyperlink"/>
          </w:rPr>
          <w:t xml:space="preserve"> math</w:t>
        </w:r>
      </w:hyperlink>
      <w:r w:rsidR="00967A9A">
        <w:t>.</w:t>
      </w:r>
    </w:p>
    <w:p w14:paraId="38410A4F" w14:textId="1517F08C" w:rsidR="00F21D53" w:rsidRDefault="00F21D53" w:rsidP="001312CE">
      <w:pPr>
        <w:pStyle w:val="BodyText"/>
        <w:numPr>
          <w:ilvl w:val="0"/>
          <w:numId w:val="22"/>
        </w:numPr>
        <w:spacing w:before="60" w:after="60"/>
        <w:ind w:left="714" w:hanging="357"/>
      </w:pPr>
      <w:r>
        <w:t xml:space="preserve">Use visually accessible </w:t>
      </w:r>
      <w:r w:rsidR="0071355B">
        <w:t xml:space="preserve">colours </w:t>
      </w:r>
      <w:r w:rsidR="00422142">
        <w:t>(</w:t>
      </w:r>
      <w:r w:rsidR="00FF718C">
        <w:t>dark text on light background or vice versa</w:t>
      </w:r>
      <w:r w:rsidR="00422142">
        <w:t>)</w:t>
      </w:r>
      <w:r w:rsidR="00FF718C">
        <w:t xml:space="preserve">. Use a </w:t>
      </w:r>
      <w:hyperlink r:id="rId21" w:history="1">
        <w:r w:rsidR="00FF718C" w:rsidRPr="00FF718C">
          <w:rPr>
            <w:rStyle w:val="Hyperlink"/>
          </w:rPr>
          <w:t>contrast checker</w:t>
        </w:r>
      </w:hyperlink>
      <w:r w:rsidR="00FF718C">
        <w:t xml:space="preserve"> to test.</w:t>
      </w:r>
      <w:r w:rsidR="00D21A01">
        <w:t xml:space="preserve"> Use </w:t>
      </w:r>
      <w:hyperlink r:id="rId22" w:anchor="%23D81B60-%231E88E5-%23FFC107-%23004D40" w:history="1">
        <w:r w:rsidR="00D21A01" w:rsidRPr="00D21A01">
          <w:rPr>
            <w:rStyle w:val="Hyperlink"/>
          </w:rPr>
          <w:t xml:space="preserve">colour palettes accessible for colour </w:t>
        </w:r>
        <w:r w:rsidR="0075559B" w:rsidRPr="00D21A01">
          <w:rPr>
            <w:rStyle w:val="Hyperlink"/>
          </w:rPr>
          <w:t>blindness</w:t>
        </w:r>
      </w:hyperlink>
      <w:r w:rsidR="00D21A01">
        <w:t>.</w:t>
      </w:r>
    </w:p>
    <w:p w14:paraId="0BF5B96D" w14:textId="619FBCBB" w:rsidR="0071355B" w:rsidRPr="0071355B" w:rsidRDefault="00F21D53" w:rsidP="001312CE">
      <w:pPr>
        <w:pStyle w:val="BodyText"/>
        <w:numPr>
          <w:ilvl w:val="0"/>
          <w:numId w:val="22"/>
        </w:numPr>
        <w:spacing w:before="60" w:after="60"/>
        <w:ind w:left="714" w:hanging="357"/>
      </w:pPr>
      <w:r>
        <w:t xml:space="preserve">Use visually accessible </w:t>
      </w:r>
      <w:r w:rsidR="0071355B">
        <w:t>layouts</w:t>
      </w:r>
      <w:r w:rsidR="00422142">
        <w:t xml:space="preserve"> </w:t>
      </w:r>
      <w:r w:rsidR="001567B9">
        <w:t>with</w:t>
      </w:r>
      <w:r w:rsidR="00126346">
        <w:t xml:space="preserve"> head</w:t>
      </w:r>
      <w:r w:rsidR="00E53804">
        <w:t>ing</w:t>
      </w:r>
      <w:r w:rsidR="00DA202C">
        <w:t>s</w:t>
      </w:r>
      <w:r w:rsidR="00E53804">
        <w:t xml:space="preserve">, spacing between paragraphs, </w:t>
      </w:r>
      <w:r w:rsidR="00C3640A">
        <w:t xml:space="preserve">dots points </w:t>
      </w:r>
      <w:proofErr w:type="gramStart"/>
      <w:r w:rsidR="00C3640A">
        <w:t>lists</w:t>
      </w:r>
      <w:proofErr w:type="gramEnd"/>
      <w:r w:rsidR="00204C55">
        <w:t>, and contrast between background and images</w:t>
      </w:r>
      <w:r w:rsidR="0071355B">
        <w:t xml:space="preserve">. </w:t>
      </w:r>
    </w:p>
    <w:p w14:paraId="6CD752E7" w14:textId="743ED292" w:rsidR="0071355B" w:rsidRPr="0071355B" w:rsidRDefault="0071355B" w:rsidP="001312CE">
      <w:pPr>
        <w:pStyle w:val="BodyText"/>
        <w:numPr>
          <w:ilvl w:val="0"/>
          <w:numId w:val="22"/>
        </w:numPr>
        <w:spacing w:before="60" w:after="60"/>
        <w:ind w:left="714" w:hanging="357"/>
      </w:pPr>
      <w:r w:rsidRPr="0071355B">
        <w:t xml:space="preserve">Provide </w:t>
      </w:r>
      <w:r w:rsidR="00080157">
        <w:t>class</w:t>
      </w:r>
      <w:r w:rsidRPr="0071355B">
        <w:t xml:space="preserve"> notes in multiple formats (</w:t>
      </w:r>
      <w:r w:rsidR="00621780">
        <w:t>PDF</w:t>
      </w:r>
      <w:r w:rsidRPr="0071355B">
        <w:t xml:space="preserve">, </w:t>
      </w:r>
      <w:r w:rsidR="00621780">
        <w:t>W</w:t>
      </w:r>
      <w:r w:rsidRPr="0071355B">
        <w:t xml:space="preserve">ord, digital </w:t>
      </w:r>
      <w:r w:rsidR="00325C35">
        <w:t>and</w:t>
      </w:r>
      <w:r w:rsidRPr="0071355B">
        <w:t xml:space="preserve"> print</w:t>
      </w:r>
      <w:r w:rsidR="00325C35">
        <w:t xml:space="preserve"> format</w:t>
      </w:r>
      <w:r w:rsidR="000578BD">
        <w:t>s</w:t>
      </w:r>
      <w:r w:rsidRPr="0071355B">
        <w:t xml:space="preserve">) </w:t>
      </w:r>
      <w:r w:rsidR="00621780">
        <w:t>or in an easily adaptable format (</w:t>
      </w:r>
      <w:r w:rsidR="00621780" w:rsidRPr="001822C0">
        <w:t>Word</w:t>
      </w:r>
      <w:r w:rsidR="001822C0">
        <w:t>, Markdown</w:t>
      </w:r>
      <w:r w:rsidR="00621780">
        <w:t>) o</w:t>
      </w:r>
      <w:r w:rsidRPr="0071355B">
        <w:t>n Bb</w:t>
      </w:r>
      <w:r w:rsidR="00454C02">
        <w:t>. C</w:t>
      </w:r>
      <w:r w:rsidRPr="0071355B">
        <w:t xml:space="preserve">onsider uploading any notes that were annotated during class, post-session. </w:t>
      </w:r>
    </w:p>
    <w:p w14:paraId="1B944CA0" w14:textId="6F37880D" w:rsidR="0071355B" w:rsidRPr="0071355B" w:rsidRDefault="00621780" w:rsidP="001312CE">
      <w:pPr>
        <w:pStyle w:val="BodyText"/>
        <w:numPr>
          <w:ilvl w:val="0"/>
          <w:numId w:val="22"/>
        </w:numPr>
        <w:spacing w:before="60" w:after="60"/>
        <w:ind w:left="714" w:hanging="357"/>
      </w:pPr>
      <w:r>
        <w:t>Ensure</w:t>
      </w:r>
      <w:r w:rsidR="0071355B" w:rsidRPr="0071355B">
        <w:t xml:space="preserve"> captions are enabled on video resources that you create. </w:t>
      </w:r>
    </w:p>
    <w:p w14:paraId="234C4E66" w14:textId="20C02FAF" w:rsidR="0071355B" w:rsidRPr="0071355B" w:rsidRDefault="0071355B" w:rsidP="001312CE">
      <w:pPr>
        <w:pStyle w:val="BodyText"/>
        <w:numPr>
          <w:ilvl w:val="0"/>
          <w:numId w:val="22"/>
        </w:numPr>
        <w:spacing w:before="60" w:after="60"/>
        <w:ind w:left="714" w:hanging="357"/>
      </w:pPr>
      <w:r w:rsidRPr="0071355B">
        <w:t>Clarify language, symbols and terminology</w:t>
      </w:r>
      <w:r w:rsidR="007A518D">
        <w:t>,</w:t>
      </w:r>
      <w:r w:rsidRPr="0071355B">
        <w:t xml:space="preserve"> including mathematical equations by modelling use in explanations.</w:t>
      </w:r>
      <w:r w:rsidR="004D6B89">
        <w:t xml:space="preserve"> Use directional language when referring to items on a screen</w:t>
      </w:r>
      <w:r w:rsidR="00DC64BD">
        <w:t xml:space="preserve"> to draw attention</w:t>
      </w:r>
      <w:r w:rsidR="001E7F61">
        <w:t>.</w:t>
      </w:r>
    </w:p>
    <w:p w14:paraId="41686257" w14:textId="6763D267" w:rsidR="0071355B" w:rsidRPr="0071355B" w:rsidRDefault="0071355B" w:rsidP="001312CE">
      <w:pPr>
        <w:pStyle w:val="BodyText"/>
        <w:numPr>
          <w:ilvl w:val="0"/>
          <w:numId w:val="22"/>
        </w:numPr>
        <w:spacing w:before="60" w:after="60"/>
        <w:ind w:left="714" w:hanging="357"/>
      </w:pPr>
      <w:r w:rsidRPr="0071355B">
        <w:t xml:space="preserve">Make connections between any assumed prior knowledge and new knowledge in the course explicit throughout the </w:t>
      </w:r>
      <w:r w:rsidR="007A518D">
        <w:t>semester. Pr</w:t>
      </w:r>
      <w:r w:rsidRPr="0071355B">
        <w:t xml:space="preserve">ovide resources or support that can help students fill any gaps. </w:t>
      </w:r>
    </w:p>
    <w:p w14:paraId="5C9181CA" w14:textId="0811D9F0" w:rsidR="0071355B" w:rsidRPr="0071355B" w:rsidRDefault="0071355B" w:rsidP="0071355B">
      <w:pPr>
        <w:pStyle w:val="Heading3"/>
      </w:pPr>
      <w:r w:rsidRPr="0071355B">
        <w:t xml:space="preserve">Means of Action &amp; Expression </w:t>
      </w:r>
    </w:p>
    <w:p w14:paraId="552D0896" w14:textId="08C0527B" w:rsidR="0071355B" w:rsidRPr="0071355B" w:rsidRDefault="0071355B" w:rsidP="001312CE">
      <w:pPr>
        <w:pStyle w:val="BodyText"/>
        <w:numPr>
          <w:ilvl w:val="0"/>
          <w:numId w:val="23"/>
        </w:numPr>
        <w:spacing w:before="60" w:after="60"/>
        <w:ind w:left="714" w:hanging="357"/>
      </w:pPr>
      <w:r w:rsidRPr="0071355B">
        <w:t>Set the expectations for how to be successful in learning in the course in Week 1</w:t>
      </w:r>
      <w:r w:rsidR="007A518D">
        <w:t>. I</w:t>
      </w:r>
      <w:r w:rsidRPr="0071355B">
        <w:t xml:space="preserve">nclude these </w:t>
      </w:r>
      <w:r w:rsidR="007A518D">
        <w:t>on</w:t>
      </w:r>
      <w:r w:rsidRPr="0071355B">
        <w:t xml:space="preserve"> Bb so they are accessible throughout semester. </w:t>
      </w:r>
    </w:p>
    <w:p w14:paraId="3BAF330A" w14:textId="64A61143" w:rsidR="0071355B" w:rsidRPr="001822C0" w:rsidRDefault="00C868CC" w:rsidP="001312CE">
      <w:pPr>
        <w:pStyle w:val="BodyText"/>
        <w:numPr>
          <w:ilvl w:val="0"/>
          <w:numId w:val="23"/>
        </w:numPr>
        <w:spacing w:before="60" w:after="60"/>
        <w:ind w:left="714" w:hanging="357"/>
      </w:pPr>
      <w:r w:rsidRPr="001822C0">
        <w:t>I</w:t>
      </w:r>
      <w:r w:rsidR="0071355B" w:rsidRPr="001822C0">
        <w:t>n Bb</w:t>
      </w:r>
      <w:r w:rsidRPr="001822C0">
        <w:t xml:space="preserve">, </w:t>
      </w:r>
      <w:r w:rsidR="0071355B" w:rsidRPr="001822C0">
        <w:t xml:space="preserve">provide direct links to activities, assessment or resources for each week. </w:t>
      </w:r>
    </w:p>
    <w:p w14:paraId="4B45EA96" w14:textId="6BE7C843" w:rsidR="0071355B" w:rsidRPr="0071355B" w:rsidRDefault="0071355B" w:rsidP="001312CE">
      <w:pPr>
        <w:pStyle w:val="BodyText"/>
        <w:numPr>
          <w:ilvl w:val="0"/>
          <w:numId w:val="23"/>
        </w:numPr>
        <w:spacing w:before="60" w:after="60"/>
        <w:ind w:left="714" w:hanging="357"/>
      </w:pPr>
      <w:r w:rsidRPr="0071355B">
        <w:t xml:space="preserve">Offer assessment options where the best </w:t>
      </w:r>
      <w:r w:rsidRPr="00C868CC">
        <w:rPr>
          <w:i/>
          <w:iCs/>
        </w:rPr>
        <w:t>x</w:t>
      </w:r>
      <w:r w:rsidRPr="0071355B">
        <w:t xml:space="preserve"> out of </w:t>
      </w:r>
      <w:r w:rsidRPr="00C868CC">
        <w:rPr>
          <w:i/>
          <w:iCs/>
        </w:rPr>
        <w:t>y</w:t>
      </w:r>
      <w:r w:rsidRPr="0071355B">
        <w:t xml:space="preserve"> tasks that count to final marks (</w:t>
      </w:r>
      <w:r w:rsidR="00C868CC">
        <w:t xml:space="preserve">for example, </w:t>
      </w:r>
      <w:r w:rsidRPr="0071355B">
        <w:t xml:space="preserve">best 8 out of 10 quizzes or best 3 out of 4 worksheets). This provides flexibility if a student is ill or absent during semester (and fewer extensions). </w:t>
      </w:r>
    </w:p>
    <w:p w14:paraId="5445622B" w14:textId="71A83D5B" w:rsidR="0071355B" w:rsidRPr="0071355B" w:rsidRDefault="0071355B" w:rsidP="001312CE">
      <w:pPr>
        <w:pStyle w:val="BodyText"/>
        <w:numPr>
          <w:ilvl w:val="0"/>
          <w:numId w:val="23"/>
        </w:numPr>
        <w:spacing w:before="60" w:after="60"/>
        <w:ind w:left="714" w:hanging="357"/>
      </w:pPr>
      <w:r w:rsidRPr="0071355B">
        <w:t xml:space="preserve">Provide </w:t>
      </w:r>
      <w:r w:rsidR="00377E85">
        <w:t xml:space="preserve">a </w:t>
      </w:r>
      <w:r w:rsidRPr="0071355B">
        <w:t>clear path</w:t>
      </w:r>
      <w:r w:rsidR="00377E85">
        <w:t>way(s)</w:t>
      </w:r>
      <w:r w:rsidRPr="0071355B">
        <w:t xml:space="preserve"> for </w:t>
      </w:r>
      <w:r w:rsidR="00377E85">
        <w:t>students to communicate w</w:t>
      </w:r>
      <w:r w:rsidRPr="0071355B">
        <w:t xml:space="preserve">ith </w:t>
      </w:r>
      <w:r w:rsidR="00377E85">
        <w:t xml:space="preserve">the course co-ordinator and teaching team </w:t>
      </w:r>
      <w:r w:rsidRPr="0071355B">
        <w:t>so that students to ask questions</w:t>
      </w:r>
      <w:r w:rsidR="00377E85">
        <w:t xml:space="preserve">. </w:t>
      </w:r>
      <w:r w:rsidRPr="0071355B">
        <w:t xml:space="preserve">Ed Discussion (Bb) is an excellent option. </w:t>
      </w:r>
    </w:p>
    <w:p w14:paraId="45614858" w14:textId="75D57DFB" w:rsidR="00992AA1" w:rsidRPr="00ED547F" w:rsidRDefault="0071355B" w:rsidP="001312CE">
      <w:pPr>
        <w:pStyle w:val="BodyText"/>
        <w:numPr>
          <w:ilvl w:val="0"/>
          <w:numId w:val="23"/>
        </w:numPr>
        <w:spacing w:before="60" w:after="60"/>
        <w:ind w:left="714" w:hanging="357"/>
      </w:pPr>
      <w:r w:rsidRPr="0071355B">
        <w:t xml:space="preserve">Provide access to digital resources or tools that are accessible on campus to include students who may have limited access when off campus. </w:t>
      </w:r>
    </w:p>
    <w:p w14:paraId="10C86621" w14:textId="4910CB57" w:rsidR="00F11DA4" w:rsidRDefault="00F11DA4" w:rsidP="00F11DA4">
      <w:pPr>
        <w:pStyle w:val="Heading2"/>
      </w:pPr>
      <w:r>
        <w:lastRenderedPageBreak/>
        <w:t>Additional resources</w:t>
      </w:r>
      <w:r w:rsidR="000A2F14">
        <w:t xml:space="preserve"> and acknowledgements</w:t>
      </w:r>
    </w:p>
    <w:p w14:paraId="02855544" w14:textId="42637A03" w:rsidR="000A2F14" w:rsidRDefault="000A2F14" w:rsidP="00825E56">
      <w:pPr>
        <w:pStyle w:val="BodyText"/>
        <w:numPr>
          <w:ilvl w:val="0"/>
          <w:numId w:val="17"/>
        </w:numPr>
      </w:pPr>
      <w:r>
        <w:t>Low hanging fruit examples</w:t>
      </w:r>
      <w:r w:rsidR="00C76A99">
        <w:t xml:space="preserve"> adapted from </w:t>
      </w:r>
      <w:r w:rsidR="00C76A99" w:rsidRPr="00C76A99">
        <w:t>the UQ inclusive education team</w:t>
      </w:r>
    </w:p>
    <w:p w14:paraId="0CED1481" w14:textId="245596C2" w:rsidR="00B65D0F" w:rsidRDefault="009B2BAD" w:rsidP="00825E56">
      <w:pPr>
        <w:pStyle w:val="BodyText"/>
        <w:numPr>
          <w:ilvl w:val="0"/>
          <w:numId w:val="17"/>
        </w:numPr>
      </w:pPr>
      <w:hyperlink r:id="rId23" w:history="1">
        <w:r>
          <w:rPr>
            <w:rStyle w:val="Hyperlink"/>
          </w:rPr>
          <w:t>CAST UDL Guidelines 3.0 Graphic Organiser</w:t>
        </w:r>
      </w:hyperlink>
    </w:p>
    <w:p w14:paraId="60E33896" w14:textId="77777777" w:rsidR="009B2BAD" w:rsidRDefault="009B2BAD" w:rsidP="009B2BAD">
      <w:pPr>
        <w:pStyle w:val="BodyText"/>
        <w:numPr>
          <w:ilvl w:val="0"/>
          <w:numId w:val="17"/>
        </w:numPr>
      </w:pPr>
      <w:hyperlink r:id="rId24" w:history="1">
        <w:r>
          <w:rPr>
            <w:rStyle w:val="Hyperlink"/>
          </w:rPr>
          <w:t>ITaLI: Inclusive practice</w:t>
        </w:r>
      </w:hyperlink>
    </w:p>
    <w:p w14:paraId="07FEB40D" w14:textId="2A0F732A" w:rsidR="009B2BAD" w:rsidRDefault="009B2BAD" w:rsidP="009B2BAD">
      <w:pPr>
        <w:pStyle w:val="BodyText"/>
        <w:numPr>
          <w:ilvl w:val="0"/>
          <w:numId w:val="17"/>
        </w:numPr>
      </w:pPr>
      <w:hyperlink r:id="rId25" w:history="1">
        <w:r>
          <w:rPr>
            <w:rStyle w:val="Hyperlink"/>
          </w:rPr>
          <w:t>Self-paced module: Designing effective and inclusive learning environments at UQ</w:t>
        </w:r>
      </w:hyperlink>
    </w:p>
    <w:p w14:paraId="514E1D3B" w14:textId="3FA14938" w:rsidR="009B2BAD" w:rsidRDefault="009B2BAD" w:rsidP="009B2BAD">
      <w:pPr>
        <w:pStyle w:val="BodyText"/>
        <w:numPr>
          <w:ilvl w:val="0"/>
          <w:numId w:val="17"/>
        </w:numPr>
      </w:pPr>
      <w:hyperlink r:id="rId26" w:tgtFrame="_blank" w:history="1">
        <w:r>
          <w:rPr>
            <w:rStyle w:val="Hyperlink"/>
          </w:rPr>
          <w:t>UQ Library: Create accessible content guide</w:t>
        </w:r>
      </w:hyperlink>
    </w:p>
    <w:p w14:paraId="6A1F06E9" w14:textId="069580C8" w:rsidR="00C203E3" w:rsidRDefault="00B65D0F" w:rsidP="00C203E3">
      <w:pPr>
        <w:pStyle w:val="BodyText"/>
        <w:numPr>
          <w:ilvl w:val="0"/>
          <w:numId w:val="17"/>
        </w:numPr>
      </w:pPr>
      <w:r>
        <w:t xml:space="preserve">Rossi, V. (2023). </w:t>
      </w:r>
      <w:hyperlink r:id="rId27" w:history="1">
        <w:r w:rsidR="00825E56">
          <w:rPr>
            <w:rStyle w:val="Hyperlink"/>
          </w:rPr>
          <w:t>Inclusive learning design in higher education</w:t>
        </w:r>
      </w:hyperlink>
      <w:r>
        <w:t>: a practical guide to creating equitable learning experiences. Routledge, Taylor &amp; Francis Group.</w:t>
      </w:r>
      <w:r w:rsidR="00C927E9">
        <w:t xml:space="preserve"> A</w:t>
      </w:r>
      <w:r w:rsidR="00691AB9">
        <w:t xml:space="preserve">nd </w:t>
      </w:r>
      <w:hyperlink r:id="rId28" w:history="1">
        <w:r w:rsidR="00691AB9" w:rsidRPr="00691AB9">
          <w:rPr>
            <w:rStyle w:val="Hyperlink"/>
          </w:rPr>
          <w:t>companion website</w:t>
        </w:r>
      </w:hyperlink>
    </w:p>
    <w:p w14:paraId="4112D712" w14:textId="6B9BB833" w:rsidR="009D085A" w:rsidRDefault="009D085A" w:rsidP="00C203E3">
      <w:pPr>
        <w:pStyle w:val="BodyText"/>
        <w:numPr>
          <w:ilvl w:val="0"/>
          <w:numId w:val="17"/>
        </w:numPr>
      </w:pPr>
      <w:hyperlink r:id="rId29" w:history="1">
        <w:r w:rsidRPr="009D085A">
          <w:rPr>
            <w:rStyle w:val="Hyperlink"/>
          </w:rPr>
          <w:t>UDL in Tertiary Education Plus-One Pledge</w:t>
        </w:r>
      </w:hyperlink>
    </w:p>
    <w:p w14:paraId="2A327101" w14:textId="7B74132B" w:rsidR="009B2BAD" w:rsidRPr="00992AA1" w:rsidRDefault="00514BA1" w:rsidP="009B2BAD">
      <w:pPr>
        <w:pStyle w:val="BodyText"/>
        <w:numPr>
          <w:ilvl w:val="0"/>
          <w:numId w:val="17"/>
        </w:numPr>
      </w:pPr>
      <w:hyperlink r:id="rId30" w:tgtFrame="_blank" w:history="1">
        <w:r>
          <w:rPr>
            <w:rStyle w:val="Hyperlink"/>
          </w:rPr>
          <w:t>Australian Disability Clearinghouse on Education and Training (ADCET) newsletter</w:t>
        </w:r>
      </w:hyperlink>
    </w:p>
    <w:p w14:paraId="4707C8F6" w14:textId="354889C7" w:rsidR="00C203E3" w:rsidRPr="0036272E" w:rsidRDefault="00CA21FB" w:rsidP="00CA21FB">
      <w:pPr>
        <w:pStyle w:val="BodyText"/>
      </w:pPr>
      <w:r>
        <w:t xml:space="preserve">Contact the </w:t>
      </w:r>
      <w:r w:rsidR="00383A47" w:rsidRPr="00383A47">
        <w:t xml:space="preserve">EAIT Learning Enhancement Team </w:t>
      </w:r>
      <w:hyperlink r:id="rId31" w:history="1">
        <w:r w:rsidR="00383A47" w:rsidRPr="008D3E7D">
          <w:rPr>
            <w:rStyle w:val="Hyperlink"/>
          </w:rPr>
          <w:t>let@eait.uq.edu.au</w:t>
        </w:r>
      </w:hyperlink>
      <w:r>
        <w:t xml:space="preserve">. </w:t>
      </w:r>
    </w:p>
    <w:sectPr w:rsidR="00C203E3" w:rsidRPr="0036272E" w:rsidSect="001312CE">
      <w:headerReference w:type="default" r:id="rId32"/>
      <w:footerReference w:type="default" r:id="rId33"/>
      <w:headerReference w:type="first" r:id="rId34"/>
      <w:footerReference w:type="first" r:id="rId35"/>
      <w:pgSz w:w="11906" w:h="16838" w:code="9"/>
      <w:pgMar w:top="-890" w:right="1134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BE73" w14:textId="77777777" w:rsidR="00E3495B" w:rsidRDefault="00E3495B" w:rsidP="00C20C17">
      <w:r>
        <w:separator/>
      </w:r>
    </w:p>
  </w:endnote>
  <w:endnote w:type="continuationSeparator" w:id="0">
    <w:p w14:paraId="385DD7F5" w14:textId="77777777" w:rsidR="00E3495B" w:rsidRDefault="00E3495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8739" w14:textId="35B2752D" w:rsidR="00B459B7" w:rsidRDefault="00B459B7" w:rsidP="00B459B7">
    <w:pPr>
      <w:pStyle w:val="Footer"/>
    </w:pPr>
    <w:r w:rsidRPr="00B459B7">
      <w:t>CRICOS Provider 00025B • TEQSA PRV12080</w:t>
    </w:r>
    <w:r w:rsidR="00D73736">
      <w:tab/>
    </w:r>
    <w:r w:rsidRPr="00B459B7">
      <w:t>EAIT Learning Enhancement Team – September 2025</w:t>
    </w:r>
    <w:r>
      <w:tab/>
    </w:r>
    <w:r w:rsidR="00D73736">
      <w:tab/>
    </w:r>
    <w:r>
      <w:tab/>
    </w:r>
    <w:sdt>
      <w:sdtPr>
        <w:id w:val="-140267722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E605BA1" w14:textId="77777777" w:rsidTr="0016241C">
      <w:tc>
        <w:tcPr>
          <w:tcW w:w="2548" w:type="dxa"/>
        </w:tcPr>
        <w:p w14:paraId="4528F37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4F116856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69DC7CFD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4AB3D645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temporary/>
              <w:showingPlcHdr/>
              <w:text w:multiLine="1"/>
            </w:sdtPr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702FDF2B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7791671C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202D8BFE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21A7E67D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7233" w14:textId="77777777" w:rsidR="00E3495B" w:rsidRDefault="00E3495B" w:rsidP="00C20C17">
      <w:r>
        <w:separator/>
      </w:r>
    </w:p>
  </w:footnote>
  <w:footnote w:type="continuationSeparator" w:id="0">
    <w:p w14:paraId="3F02170C" w14:textId="77777777" w:rsidR="00E3495B" w:rsidRDefault="00E3495B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08BE" w14:textId="77777777" w:rsidR="007B0BBA" w:rsidRDefault="005845EC" w:rsidP="007B0BBA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85D5BF4" wp14:editId="609D85B1">
          <wp:simplePos x="0" y="0"/>
          <wp:positionH relativeFrom="column">
            <wp:posOffset>-736600</wp:posOffset>
          </wp:positionH>
          <wp:positionV relativeFrom="paragraph">
            <wp:posOffset>-413689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72503860" name="Picture 72503860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7540B" w14:textId="77777777" w:rsidR="007B0BBA" w:rsidRDefault="007B0BBA" w:rsidP="007B0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7AE8" w14:textId="228BF879" w:rsidR="00F4114D" w:rsidRDefault="00F4114D" w:rsidP="00F4114D">
    <w:pPr>
      <w:pStyle w:val="Header"/>
      <w:jc w:val="right"/>
    </w:pPr>
  </w:p>
  <w:p w14:paraId="471E094C" w14:textId="77777777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61EC047" wp14:editId="34C329A1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66911299" name="Picture 66911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9DE3C2E"/>
    <w:multiLevelType w:val="hybridMultilevel"/>
    <w:tmpl w:val="F66AE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636"/>
    <w:multiLevelType w:val="hybridMultilevel"/>
    <w:tmpl w:val="07906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92F93"/>
    <w:multiLevelType w:val="hybridMultilevel"/>
    <w:tmpl w:val="8DFA4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8650AB8"/>
    <w:multiLevelType w:val="hybridMultilevel"/>
    <w:tmpl w:val="B3E264EE"/>
    <w:lvl w:ilvl="0" w:tplc="EB7CA1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97D11"/>
    <w:multiLevelType w:val="multilevel"/>
    <w:tmpl w:val="954C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0" w15:restartNumberingAfterBreak="0">
    <w:nsid w:val="1D0E5925"/>
    <w:multiLevelType w:val="multilevel"/>
    <w:tmpl w:val="630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42D0FDD"/>
    <w:multiLevelType w:val="hybridMultilevel"/>
    <w:tmpl w:val="748EC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B743404"/>
    <w:multiLevelType w:val="hybridMultilevel"/>
    <w:tmpl w:val="81DEC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B4F2D"/>
    <w:multiLevelType w:val="hybridMultilevel"/>
    <w:tmpl w:val="BEF06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E2D47"/>
    <w:multiLevelType w:val="hybridMultilevel"/>
    <w:tmpl w:val="5B264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8C90D8A"/>
    <w:multiLevelType w:val="multilevel"/>
    <w:tmpl w:val="8752BC70"/>
    <w:numStyleLink w:val="ListSectionTitle"/>
  </w:abstractNum>
  <w:abstractNum w:abstractNumId="21" w15:restartNumberingAfterBreak="0">
    <w:nsid w:val="52AA0A7D"/>
    <w:multiLevelType w:val="multilevel"/>
    <w:tmpl w:val="E9B44B6A"/>
    <w:numStyleLink w:val="ListParagraph"/>
  </w:abstractNum>
  <w:abstractNum w:abstractNumId="22" w15:restartNumberingAfterBreak="0">
    <w:nsid w:val="53FE7795"/>
    <w:multiLevelType w:val="multilevel"/>
    <w:tmpl w:val="B5BC7C40"/>
    <w:numStyleLink w:val="ListAppendix"/>
  </w:abstractNum>
  <w:abstractNum w:abstractNumId="23" w15:restartNumberingAfterBreak="0">
    <w:nsid w:val="574A0601"/>
    <w:multiLevelType w:val="hybridMultilevel"/>
    <w:tmpl w:val="FB9E9C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798907196">
    <w:abstractNumId w:val="24"/>
  </w:num>
  <w:num w:numId="2" w16cid:durableId="1190602858">
    <w:abstractNumId w:val="9"/>
  </w:num>
  <w:num w:numId="3" w16cid:durableId="1209538068">
    <w:abstractNumId w:val="18"/>
  </w:num>
  <w:num w:numId="4" w16cid:durableId="679429343">
    <w:abstractNumId w:val="6"/>
  </w:num>
  <w:num w:numId="5" w16cid:durableId="1146356740">
    <w:abstractNumId w:val="21"/>
  </w:num>
  <w:num w:numId="6" w16cid:durableId="1378504555">
    <w:abstractNumId w:val="11"/>
  </w:num>
  <w:num w:numId="7" w16cid:durableId="1501504831">
    <w:abstractNumId w:val="13"/>
  </w:num>
  <w:num w:numId="8" w16cid:durableId="768475205">
    <w:abstractNumId w:val="14"/>
  </w:num>
  <w:num w:numId="9" w16cid:durableId="1423988116">
    <w:abstractNumId w:val="5"/>
  </w:num>
  <w:num w:numId="10" w16cid:durableId="498928100">
    <w:abstractNumId w:val="19"/>
  </w:num>
  <w:num w:numId="11" w16cid:durableId="1394817953">
    <w:abstractNumId w:val="1"/>
  </w:num>
  <w:num w:numId="12" w16cid:durableId="149177872">
    <w:abstractNumId w:val="0"/>
  </w:num>
  <w:num w:numId="13" w16cid:durableId="1247303909">
    <w:abstractNumId w:val="20"/>
  </w:num>
  <w:num w:numId="14" w16cid:durableId="804547555">
    <w:abstractNumId w:val="22"/>
  </w:num>
  <w:num w:numId="15" w16cid:durableId="1531334421">
    <w:abstractNumId w:val="20"/>
  </w:num>
  <w:num w:numId="16" w16cid:durableId="618145598">
    <w:abstractNumId w:val="16"/>
  </w:num>
  <w:num w:numId="17" w16cid:durableId="829784039">
    <w:abstractNumId w:val="2"/>
  </w:num>
  <w:num w:numId="18" w16cid:durableId="493030273">
    <w:abstractNumId w:val="4"/>
  </w:num>
  <w:num w:numId="19" w16cid:durableId="182213054">
    <w:abstractNumId w:val="8"/>
  </w:num>
  <w:num w:numId="20" w16cid:durableId="1904559135">
    <w:abstractNumId w:val="10"/>
  </w:num>
  <w:num w:numId="21" w16cid:durableId="793868406">
    <w:abstractNumId w:val="15"/>
  </w:num>
  <w:num w:numId="22" w16cid:durableId="1609199724">
    <w:abstractNumId w:val="12"/>
  </w:num>
  <w:num w:numId="23" w16cid:durableId="1163546400">
    <w:abstractNumId w:val="17"/>
  </w:num>
  <w:num w:numId="24" w16cid:durableId="1996570670">
    <w:abstractNumId w:val="23"/>
  </w:num>
  <w:num w:numId="25" w16cid:durableId="1207329214">
    <w:abstractNumId w:val="7"/>
  </w:num>
  <w:num w:numId="26" w16cid:durableId="3947809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D9"/>
    <w:rsid w:val="00001D2D"/>
    <w:rsid w:val="000256C8"/>
    <w:rsid w:val="000300D4"/>
    <w:rsid w:val="000333F7"/>
    <w:rsid w:val="00034C91"/>
    <w:rsid w:val="00036EE9"/>
    <w:rsid w:val="00046538"/>
    <w:rsid w:val="00051DD1"/>
    <w:rsid w:val="000578BD"/>
    <w:rsid w:val="00080157"/>
    <w:rsid w:val="000978A9"/>
    <w:rsid w:val="000A2F14"/>
    <w:rsid w:val="000A7AFE"/>
    <w:rsid w:val="000B3E75"/>
    <w:rsid w:val="000E1676"/>
    <w:rsid w:val="000E1C54"/>
    <w:rsid w:val="000F066D"/>
    <w:rsid w:val="00106F65"/>
    <w:rsid w:val="00121DB7"/>
    <w:rsid w:val="00126346"/>
    <w:rsid w:val="001312CE"/>
    <w:rsid w:val="00140FFC"/>
    <w:rsid w:val="001567B9"/>
    <w:rsid w:val="0016241C"/>
    <w:rsid w:val="00171364"/>
    <w:rsid w:val="00172470"/>
    <w:rsid w:val="001741BF"/>
    <w:rsid w:val="00175200"/>
    <w:rsid w:val="001822C0"/>
    <w:rsid w:val="00187FC8"/>
    <w:rsid w:val="00193459"/>
    <w:rsid w:val="00193BFC"/>
    <w:rsid w:val="00196C64"/>
    <w:rsid w:val="001B6A57"/>
    <w:rsid w:val="001D1FA9"/>
    <w:rsid w:val="001D6360"/>
    <w:rsid w:val="001E544B"/>
    <w:rsid w:val="001E7F61"/>
    <w:rsid w:val="00204C55"/>
    <w:rsid w:val="0021053D"/>
    <w:rsid w:val="002109B9"/>
    <w:rsid w:val="002142AC"/>
    <w:rsid w:val="002368A1"/>
    <w:rsid w:val="00241DF1"/>
    <w:rsid w:val="002450E7"/>
    <w:rsid w:val="00287293"/>
    <w:rsid w:val="00292EDB"/>
    <w:rsid w:val="002C6194"/>
    <w:rsid w:val="002C6BA1"/>
    <w:rsid w:val="002D73F6"/>
    <w:rsid w:val="002D78A8"/>
    <w:rsid w:val="002E0C95"/>
    <w:rsid w:val="002E19E3"/>
    <w:rsid w:val="002F4BBB"/>
    <w:rsid w:val="002F612F"/>
    <w:rsid w:val="002F64A0"/>
    <w:rsid w:val="00302E5A"/>
    <w:rsid w:val="00310B79"/>
    <w:rsid w:val="00315EB6"/>
    <w:rsid w:val="003166C5"/>
    <w:rsid w:val="00325C35"/>
    <w:rsid w:val="0033054B"/>
    <w:rsid w:val="00335964"/>
    <w:rsid w:val="003447AF"/>
    <w:rsid w:val="00353B91"/>
    <w:rsid w:val="00361C6A"/>
    <w:rsid w:val="0036272E"/>
    <w:rsid w:val="00364959"/>
    <w:rsid w:val="00377E85"/>
    <w:rsid w:val="00383A47"/>
    <w:rsid w:val="003A6160"/>
    <w:rsid w:val="003B0DC7"/>
    <w:rsid w:val="003B2522"/>
    <w:rsid w:val="003B2933"/>
    <w:rsid w:val="003C1D2C"/>
    <w:rsid w:val="003C45A4"/>
    <w:rsid w:val="003C5B01"/>
    <w:rsid w:val="003F1F67"/>
    <w:rsid w:val="00416FF4"/>
    <w:rsid w:val="00422142"/>
    <w:rsid w:val="004264A3"/>
    <w:rsid w:val="00432D32"/>
    <w:rsid w:val="00445521"/>
    <w:rsid w:val="00450FBD"/>
    <w:rsid w:val="00454C02"/>
    <w:rsid w:val="00463D08"/>
    <w:rsid w:val="004713C5"/>
    <w:rsid w:val="004852B3"/>
    <w:rsid w:val="00487438"/>
    <w:rsid w:val="00487D7E"/>
    <w:rsid w:val="0049226C"/>
    <w:rsid w:val="004951A1"/>
    <w:rsid w:val="004972A0"/>
    <w:rsid w:val="004A5DCA"/>
    <w:rsid w:val="004A7C9D"/>
    <w:rsid w:val="004C7B63"/>
    <w:rsid w:val="004D002A"/>
    <w:rsid w:val="004D6B89"/>
    <w:rsid w:val="004E5906"/>
    <w:rsid w:val="004F0614"/>
    <w:rsid w:val="00504F77"/>
    <w:rsid w:val="00514BA1"/>
    <w:rsid w:val="0052478B"/>
    <w:rsid w:val="00525774"/>
    <w:rsid w:val="00525D23"/>
    <w:rsid w:val="00542687"/>
    <w:rsid w:val="00543BE5"/>
    <w:rsid w:val="00555655"/>
    <w:rsid w:val="00561536"/>
    <w:rsid w:val="00571E2B"/>
    <w:rsid w:val="00576D68"/>
    <w:rsid w:val="005845EC"/>
    <w:rsid w:val="005A577D"/>
    <w:rsid w:val="005A6CC7"/>
    <w:rsid w:val="005B54F0"/>
    <w:rsid w:val="005C00CD"/>
    <w:rsid w:val="005C08B3"/>
    <w:rsid w:val="005D0167"/>
    <w:rsid w:val="005D4250"/>
    <w:rsid w:val="005E05E3"/>
    <w:rsid w:val="005E402C"/>
    <w:rsid w:val="005E5C82"/>
    <w:rsid w:val="005E7363"/>
    <w:rsid w:val="005F2F30"/>
    <w:rsid w:val="0061258F"/>
    <w:rsid w:val="00614669"/>
    <w:rsid w:val="00620F60"/>
    <w:rsid w:val="00621780"/>
    <w:rsid w:val="00624BD2"/>
    <w:rsid w:val="006303DA"/>
    <w:rsid w:val="00636221"/>
    <w:rsid w:val="006377A2"/>
    <w:rsid w:val="00645ABF"/>
    <w:rsid w:val="00656AEA"/>
    <w:rsid w:val="0066249F"/>
    <w:rsid w:val="00670B05"/>
    <w:rsid w:val="0068416C"/>
    <w:rsid w:val="00684298"/>
    <w:rsid w:val="006873AE"/>
    <w:rsid w:val="00691AB9"/>
    <w:rsid w:val="00691D45"/>
    <w:rsid w:val="006B16EB"/>
    <w:rsid w:val="006B610E"/>
    <w:rsid w:val="006C0E44"/>
    <w:rsid w:val="006C1852"/>
    <w:rsid w:val="006D69D2"/>
    <w:rsid w:val="006E71A4"/>
    <w:rsid w:val="006F1EBE"/>
    <w:rsid w:val="007012D8"/>
    <w:rsid w:val="007060F5"/>
    <w:rsid w:val="007067FC"/>
    <w:rsid w:val="00707C9D"/>
    <w:rsid w:val="0071246C"/>
    <w:rsid w:val="0071327E"/>
    <w:rsid w:val="0071355B"/>
    <w:rsid w:val="00715A9A"/>
    <w:rsid w:val="00716942"/>
    <w:rsid w:val="00726A4F"/>
    <w:rsid w:val="0075559B"/>
    <w:rsid w:val="007645FD"/>
    <w:rsid w:val="0079325E"/>
    <w:rsid w:val="007A518D"/>
    <w:rsid w:val="007A70F9"/>
    <w:rsid w:val="007B0BBA"/>
    <w:rsid w:val="007B215D"/>
    <w:rsid w:val="007C3845"/>
    <w:rsid w:val="007C38B8"/>
    <w:rsid w:val="007E1789"/>
    <w:rsid w:val="007F5557"/>
    <w:rsid w:val="007F6E9B"/>
    <w:rsid w:val="008148BC"/>
    <w:rsid w:val="00816B0D"/>
    <w:rsid w:val="00816CF1"/>
    <w:rsid w:val="00825E56"/>
    <w:rsid w:val="0082625B"/>
    <w:rsid w:val="00833D61"/>
    <w:rsid w:val="00834296"/>
    <w:rsid w:val="0084450D"/>
    <w:rsid w:val="0085088B"/>
    <w:rsid w:val="00862690"/>
    <w:rsid w:val="00864123"/>
    <w:rsid w:val="00882359"/>
    <w:rsid w:val="00885FB7"/>
    <w:rsid w:val="00886469"/>
    <w:rsid w:val="008B0D7D"/>
    <w:rsid w:val="008B1321"/>
    <w:rsid w:val="008C006C"/>
    <w:rsid w:val="008D6175"/>
    <w:rsid w:val="008E2EA4"/>
    <w:rsid w:val="008F4181"/>
    <w:rsid w:val="0090006C"/>
    <w:rsid w:val="00915EE2"/>
    <w:rsid w:val="009212B7"/>
    <w:rsid w:val="009375E5"/>
    <w:rsid w:val="00937A2C"/>
    <w:rsid w:val="00944DDB"/>
    <w:rsid w:val="00945BE4"/>
    <w:rsid w:val="00960842"/>
    <w:rsid w:val="00967A9A"/>
    <w:rsid w:val="00967EF2"/>
    <w:rsid w:val="00971F0D"/>
    <w:rsid w:val="009774DC"/>
    <w:rsid w:val="00986BA8"/>
    <w:rsid w:val="00992AA1"/>
    <w:rsid w:val="009A4767"/>
    <w:rsid w:val="009B2BAD"/>
    <w:rsid w:val="009C006F"/>
    <w:rsid w:val="009C1E81"/>
    <w:rsid w:val="009C7270"/>
    <w:rsid w:val="009C7595"/>
    <w:rsid w:val="009D085A"/>
    <w:rsid w:val="009D6143"/>
    <w:rsid w:val="009D7F71"/>
    <w:rsid w:val="009E12AD"/>
    <w:rsid w:val="009E3486"/>
    <w:rsid w:val="009E3FDE"/>
    <w:rsid w:val="009E6379"/>
    <w:rsid w:val="009F0254"/>
    <w:rsid w:val="009F3881"/>
    <w:rsid w:val="00A06550"/>
    <w:rsid w:val="00A07664"/>
    <w:rsid w:val="00A1219F"/>
    <w:rsid w:val="00A12421"/>
    <w:rsid w:val="00A249F5"/>
    <w:rsid w:val="00A34437"/>
    <w:rsid w:val="00A3791A"/>
    <w:rsid w:val="00A4036E"/>
    <w:rsid w:val="00A55B7E"/>
    <w:rsid w:val="00A77D53"/>
    <w:rsid w:val="00A83294"/>
    <w:rsid w:val="00A902D6"/>
    <w:rsid w:val="00AA6C60"/>
    <w:rsid w:val="00AB1DB7"/>
    <w:rsid w:val="00AB753C"/>
    <w:rsid w:val="00AC697C"/>
    <w:rsid w:val="00AE2AED"/>
    <w:rsid w:val="00AE34ED"/>
    <w:rsid w:val="00AE7D65"/>
    <w:rsid w:val="00B011BD"/>
    <w:rsid w:val="00B025B0"/>
    <w:rsid w:val="00B042DF"/>
    <w:rsid w:val="00B05B48"/>
    <w:rsid w:val="00B13955"/>
    <w:rsid w:val="00B30088"/>
    <w:rsid w:val="00B37282"/>
    <w:rsid w:val="00B378D7"/>
    <w:rsid w:val="00B459B7"/>
    <w:rsid w:val="00B473B6"/>
    <w:rsid w:val="00B65D0F"/>
    <w:rsid w:val="00B742E4"/>
    <w:rsid w:val="00B80B3F"/>
    <w:rsid w:val="00B82C9C"/>
    <w:rsid w:val="00B906AA"/>
    <w:rsid w:val="00B93E0F"/>
    <w:rsid w:val="00B95239"/>
    <w:rsid w:val="00BA4749"/>
    <w:rsid w:val="00BC0E71"/>
    <w:rsid w:val="00BD2CFB"/>
    <w:rsid w:val="00BD4D1F"/>
    <w:rsid w:val="00BD5276"/>
    <w:rsid w:val="00BD5C3F"/>
    <w:rsid w:val="00BE0430"/>
    <w:rsid w:val="00BE112C"/>
    <w:rsid w:val="00BF078E"/>
    <w:rsid w:val="00C11136"/>
    <w:rsid w:val="00C153CA"/>
    <w:rsid w:val="00C203E3"/>
    <w:rsid w:val="00C20C17"/>
    <w:rsid w:val="00C242C6"/>
    <w:rsid w:val="00C251D9"/>
    <w:rsid w:val="00C33B32"/>
    <w:rsid w:val="00C3640A"/>
    <w:rsid w:val="00C4345E"/>
    <w:rsid w:val="00C456A8"/>
    <w:rsid w:val="00C474B7"/>
    <w:rsid w:val="00C555F6"/>
    <w:rsid w:val="00C7208B"/>
    <w:rsid w:val="00C733AD"/>
    <w:rsid w:val="00C76A99"/>
    <w:rsid w:val="00C85E66"/>
    <w:rsid w:val="00C868CC"/>
    <w:rsid w:val="00C87B80"/>
    <w:rsid w:val="00C927E9"/>
    <w:rsid w:val="00C960ED"/>
    <w:rsid w:val="00C96709"/>
    <w:rsid w:val="00CA05DF"/>
    <w:rsid w:val="00CA21FB"/>
    <w:rsid w:val="00CA4DCB"/>
    <w:rsid w:val="00CB20FD"/>
    <w:rsid w:val="00CB73E1"/>
    <w:rsid w:val="00CD7947"/>
    <w:rsid w:val="00CE1C1E"/>
    <w:rsid w:val="00CE7A06"/>
    <w:rsid w:val="00D13C7F"/>
    <w:rsid w:val="00D20C9F"/>
    <w:rsid w:val="00D21A01"/>
    <w:rsid w:val="00D227D9"/>
    <w:rsid w:val="00D32971"/>
    <w:rsid w:val="00D32B07"/>
    <w:rsid w:val="00D34771"/>
    <w:rsid w:val="00D44B3D"/>
    <w:rsid w:val="00D62FC7"/>
    <w:rsid w:val="00D73736"/>
    <w:rsid w:val="00D74C3C"/>
    <w:rsid w:val="00D8242B"/>
    <w:rsid w:val="00DA202C"/>
    <w:rsid w:val="00DA5594"/>
    <w:rsid w:val="00DB22F9"/>
    <w:rsid w:val="00DC4326"/>
    <w:rsid w:val="00DC64BD"/>
    <w:rsid w:val="00DC79BB"/>
    <w:rsid w:val="00DD0AFE"/>
    <w:rsid w:val="00DD3FBD"/>
    <w:rsid w:val="00DF5EA7"/>
    <w:rsid w:val="00DF63B0"/>
    <w:rsid w:val="00DF66ED"/>
    <w:rsid w:val="00E018DE"/>
    <w:rsid w:val="00E13C2C"/>
    <w:rsid w:val="00E3495B"/>
    <w:rsid w:val="00E3606F"/>
    <w:rsid w:val="00E40068"/>
    <w:rsid w:val="00E4785D"/>
    <w:rsid w:val="00E53804"/>
    <w:rsid w:val="00E54788"/>
    <w:rsid w:val="00E61069"/>
    <w:rsid w:val="00E7261C"/>
    <w:rsid w:val="00E77EBA"/>
    <w:rsid w:val="00E8512B"/>
    <w:rsid w:val="00E87776"/>
    <w:rsid w:val="00E87A8D"/>
    <w:rsid w:val="00EA117C"/>
    <w:rsid w:val="00ED547F"/>
    <w:rsid w:val="00EE473C"/>
    <w:rsid w:val="00EF683D"/>
    <w:rsid w:val="00F115D5"/>
    <w:rsid w:val="00F11AE9"/>
    <w:rsid w:val="00F11DA4"/>
    <w:rsid w:val="00F207A5"/>
    <w:rsid w:val="00F21D53"/>
    <w:rsid w:val="00F33C51"/>
    <w:rsid w:val="00F37ED1"/>
    <w:rsid w:val="00F4114D"/>
    <w:rsid w:val="00F4312A"/>
    <w:rsid w:val="00F668FA"/>
    <w:rsid w:val="00F67FEE"/>
    <w:rsid w:val="00F745F2"/>
    <w:rsid w:val="00F74874"/>
    <w:rsid w:val="00F77373"/>
    <w:rsid w:val="00F863FB"/>
    <w:rsid w:val="00F8793E"/>
    <w:rsid w:val="00F90EA1"/>
    <w:rsid w:val="00FA3152"/>
    <w:rsid w:val="00FA5B22"/>
    <w:rsid w:val="00FB5F83"/>
    <w:rsid w:val="00FC0A1A"/>
    <w:rsid w:val="00FC0BC3"/>
    <w:rsid w:val="00FC6F0A"/>
    <w:rsid w:val="00FD1621"/>
    <w:rsid w:val="00FE0198"/>
    <w:rsid w:val="00FE7044"/>
    <w:rsid w:val="00FE7360"/>
    <w:rsid w:val="00FF08A1"/>
    <w:rsid w:val="00FF718C"/>
    <w:rsid w:val="1238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E1A44"/>
  <w15:chartTrackingRefBased/>
  <w15:docId w15:val="{93B40C8D-E2B9-4262-B2E1-7C428408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9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7F6E9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7F6E9B"/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7F6E9B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7F6E9B"/>
    <w:rPr>
      <w:sz w:val="24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54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1D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dcet.edu.au/inclusive-teaching/universal-design-for-learning/get-involved-in-the-conversations/udl-plus-one-pledge" TargetMode="External"/><Relationship Id="rId18" Type="http://schemas.openxmlformats.org/officeDocument/2006/relationships/hyperlink" Target="https://marketing-communication.uq.edu.au/written-style-guide" TargetMode="External"/><Relationship Id="rId26" Type="http://schemas.openxmlformats.org/officeDocument/2006/relationships/hyperlink" Target="https://guides.library.uq.edu.au/research-and-teaching-staff/create-accessible-content/check-your-content" TargetMode="External"/><Relationship Id="rId21" Type="http://schemas.openxmlformats.org/officeDocument/2006/relationships/hyperlink" Target="https://colourcontrast.cc/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eait.uq.edu.au/about/teaching-and-learning/learning-enhancement-team/resources" TargetMode="External"/><Relationship Id="rId25" Type="http://schemas.openxmlformats.org/officeDocument/2006/relationships/hyperlink" Target="https://wd3.myworkday.com/uq/learning/course/5b57d331111e100089c46515b3ac0000?type=9882927d138b100019b928e75843018d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luciole-vision.com/en/math.html" TargetMode="External"/><Relationship Id="rId29" Type="http://schemas.openxmlformats.org/officeDocument/2006/relationships/hyperlink" Target="https://www.adcet.edu.au/inclusive-teaching/universal-design-for-learning/get-involved-in-the-conversations/udl-plus-one-pled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dlguidelines.cast.org/representation/perception/customize-display/" TargetMode="External"/><Relationship Id="rId24" Type="http://schemas.openxmlformats.org/officeDocument/2006/relationships/hyperlink" Target="https://itali.uq.edu.au/teaching-guidance/teaching-practices/inclusive-practice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dlguidelines.cast.org/representation/perception/customize-display/" TargetMode="External"/><Relationship Id="rId23" Type="http://schemas.openxmlformats.org/officeDocument/2006/relationships/hyperlink" Target="https://udlguidelines.cast.org/more/downloads/" TargetMode="External"/><Relationship Id="rId28" Type="http://schemas.openxmlformats.org/officeDocument/2006/relationships/hyperlink" Target="https://inclusivelearningdesign.com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learning.uq.edu.au/student-guides-original/padlet-original" TargetMode="External"/><Relationship Id="rId31" Type="http://schemas.openxmlformats.org/officeDocument/2006/relationships/hyperlink" Target="mailto:let@eait.uq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dlguidelines.cast.org/" TargetMode="External"/><Relationship Id="rId22" Type="http://schemas.openxmlformats.org/officeDocument/2006/relationships/hyperlink" Target="https://davidmathlogic.com/colorblind/" TargetMode="External"/><Relationship Id="rId27" Type="http://schemas.openxmlformats.org/officeDocument/2006/relationships/hyperlink" Target="https://search.library.uq.edu.au/permalink/61UQ_INST/mana2s/alma991014608582203131" TargetMode="External"/><Relationship Id="rId30" Type="http://schemas.openxmlformats.org/officeDocument/2006/relationships/hyperlink" Target="https://www.adcet.edu.au/newsletter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qaosika\Downloads\Blank%20document%20portrait%20purple%20header.dotx" TargetMode="External"/></Relationships>
</file>

<file path=word/theme/theme1.xml><?xml version="1.0" encoding="utf-8"?>
<a:theme xmlns:a="http://schemas.openxmlformats.org/drawingml/2006/main" name="Office Theme">
  <a:themeElements>
    <a:clrScheme name="UQ colours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B2076C833641BD24CFE10D9393E6" ma:contentTypeVersion="19" ma:contentTypeDescription="Create a new document." ma:contentTypeScope="" ma:versionID="74615edabbb18737aaa831e60ab1d0cc">
  <xsd:schema xmlns:xsd="http://www.w3.org/2001/XMLSchema" xmlns:xs="http://www.w3.org/2001/XMLSchema" xmlns:p="http://schemas.microsoft.com/office/2006/metadata/properties" xmlns:ns1="http://schemas.microsoft.com/sharepoint/v3" xmlns:ns2="a72929d1-a00c-4772-9a81-5024c5408872" xmlns:ns3="17bc839f-1107-4418-903f-91fcd0d4f04a" targetNamespace="http://schemas.microsoft.com/office/2006/metadata/properties" ma:root="true" ma:fieldsID="8a2b3709e0a2fd44862e8279a0f31921" ns1:_="" ns2:_="" ns3:_="">
    <xsd:import namespace="http://schemas.microsoft.com/sharepoint/v3"/>
    <xsd:import namespace="a72929d1-a00c-4772-9a81-5024c5408872"/>
    <xsd:import namespace="17bc839f-1107-4418-903f-91fcd0d4f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1:PublishingStartDate" minOccurs="0"/>
                <xsd:element ref="ns1:PublishingExpirationDat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929d1-a00c-4772-9a81-5024c5408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839f-1107-4418-903f-91fcd0d4f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85ed50-1566-45d5-a8e9-5f2ac070a39d}" ma:internalName="TaxCatchAll" ma:showField="CatchAllData" ma:web="17bc839f-1107-4418-903f-91fcd0d4f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SharedWithUsers xmlns="17bc839f-1107-4418-903f-91fcd0d4f04a">
      <UserInfo>
        <DisplayName/>
        <AccountId xsi:nil="true"/>
        <AccountType/>
      </UserInfo>
    </SharedWithUsers>
    <TaxCatchAll xmlns="17bc839f-1107-4418-903f-91fcd0d4f04a" xsi:nil="true"/>
    <lcf76f155ced4ddcb4097134ff3c332f xmlns="a72929d1-a00c-4772-9a81-5024c540887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77C2-C37E-4712-B053-EB3E77C0F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929d1-a00c-4772-9a81-5024c5408872"/>
    <ds:schemaRef ds:uri="17bc839f-1107-4418-903f-91fcd0d4f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EB6E5-4F0E-46E5-9792-88C4B9CC1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69EE5-5F18-463F-B9CF-186D9AFBCB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bc839f-1107-4418-903f-91fcd0d4f04a"/>
    <ds:schemaRef ds:uri="a72929d1-a00c-4772-9a81-5024c5408872"/>
  </ds:schemaRefs>
</ds:datastoreItem>
</file>

<file path=customXml/itemProps4.xml><?xml version="1.0" encoding="utf-8"?>
<ds:datastoreItem xmlns:ds="http://schemas.openxmlformats.org/officeDocument/2006/customXml" ds:itemID="{834792F2-50FC-4851-8BC6-A751D24F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portrait purple header.dotx</Template>
  <TotalTime>195</TotalTime>
  <Pages>3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Osika</dc:creator>
  <cp:keywords/>
  <dc:description/>
  <cp:lastModifiedBy>Alexandra Osika</cp:lastModifiedBy>
  <cp:revision>189</cp:revision>
  <dcterms:created xsi:type="dcterms:W3CDTF">2025-08-28T16:34:00Z</dcterms:created>
  <dcterms:modified xsi:type="dcterms:W3CDTF">2025-09-10T04:54:00Z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2022-03-29T06:34:44Z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2d0a4c4e-b531-4562-a945-15bda92b0234</vt:lpwstr>
  </property>
  <property fmtid="{D5CDD505-2E9C-101B-9397-08002B2CF9AE}" pid="8" name="MSIP_Label_0f488380-630a-4f55-a077-a19445e3f360_ContentBits">
    <vt:lpwstr>0</vt:lpwstr>
  </property>
  <property fmtid="{D5CDD505-2E9C-101B-9397-08002B2CF9AE}" pid="9" name="Order">
    <vt:r8>2230900</vt:r8>
  </property>
  <property fmtid="{D5CDD505-2E9C-101B-9397-08002B2CF9AE}" pid="10" name="ContentTypeId">
    <vt:lpwstr>0x0101003821B2076C833641BD24CFE10D9393E6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